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Military Construction, Veterans Affairs, and Related Agencies</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Planning and Design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basic information. Type your responses into each text box.</w:t>
      </w:r>
    </w:p>
    <w:p w:rsidR="00000000" w:rsidDel="00000000" w:rsidP="00000000" w:rsidRDefault="00000000" w:rsidRPr="00000000" w14:paraId="0000000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Request_Military-Construction-Planning-Design_Requester-name.doc</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5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support</w:t>
      </w:r>
      <w:r w:rsidDel="00000000" w:rsidR="00000000" w:rsidRPr="00000000">
        <w:rPr>
          <w:rFonts w:ascii="Times New Roman" w:cs="Times New Roman" w:eastAsia="Times New Roman" w:hAnsi="Times New Roman"/>
          <w:sz w:val="24"/>
          <w:szCs w:val="24"/>
          <w:rtl w:val="0"/>
        </w:rPr>
        <w:t xml:space="preserve"> for the project request. This may include links or digital copies of the following:</w:t>
      </w:r>
    </w:p>
    <w:p w:rsidR="00000000" w:rsidDel="00000000" w:rsidP="00000000" w:rsidRDefault="00000000" w:rsidRPr="00000000" w14:paraId="0000002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Community Project Funding requests for DOD Military Construction, you will need to answer supplemental questions in support of these requests specifically. </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Service is the project for? Eligible services include Army, Navy and Marine Corps, Air Force, Defense-Wide Agencies (SOCOM, DHA, etc.), Army National Guard, Air National Guard, Army Reserve, Navy Reserve, Air Force Reserve</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Installation Name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Name and Amount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Design Is the funding requested for planning and design costs?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for unspecified minor construction? Provide background.</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the FY 2022-2026 FYDP?</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a Service unfunded requirement (UFR) or unfunded priority list (UPL)?</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a cost-to-complete from a prior year? If so, what year?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 corresponding request been submitted to HASC?</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E">
      <w:pPr>
        <w:pStyle w:val="Heading3"/>
        <w:rPr/>
      </w:pPr>
      <w:bookmarkStart w:colFirst="0" w:colLast="0" w:name="_2vvxiytj0ame" w:id="0"/>
      <w:bookmarkEnd w:id="0"/>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