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Labor, Health and Human Services, Education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Health Resources and Services Administration (HRSA) —Program Management</w:t>
        <w:tab/>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Request_HHS-HRSA_Requester-name.doc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Supplemental Questions for Labor-HHS-Education appropriations:</w:t>
      </w:r>
    </w:p>
    <w:p w:rsidR="00000000" w:rsidDel="00000000" w:rsidP="00000000" w:rsidRDefault="00000000" w:rsidRPr="00000000" w14:paraId="0000003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this One-Year Funding? (Yes/No)</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sources of Federal and Non-Federal Funds.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 history of federal funding for the project, if any. Include both formula funds and any discretionary grants and fiscal years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request does not fully fund the project, describe where the remaining funding comes from to complete the project.</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this project be submitted to another Member of Congress? If yes, who? (Yes/No)</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D">
      <w:pPr>
        <w:pStyle w:val="Heading3"/>
        <w:rPr>
          <w:rFonts w:ascii="Times New Roman" w:cs="Times New Roman" w:eastAsia="Times New Roman" w:hAnsi="Times New Roman"/>
          <w:sz w:val="24"/>
          <w:szCs w:val="24"/>
        </w:rPr>
      </w:pPr>
      <w:bookmarkStart w:colFirst="0" w:colLast="0" w:name="_2xeotg9papj3" w:id="0"/>
      <w:bookmarkEnd w:id="0"/>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