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Labor, Health and Human Services, Education and Related Agencies</w:t>
        <w:tab/>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Department of Labor - Employment and Training Administration, Workforce Innovation and Opportunity Act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Request_Labor-Workforce-Innovation_Requester-name.doc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 for Workforce Innovation and Opportunity Act Requests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 must include direct services to individuals to enhance employment opportunity. Describe what direct services are included in the program.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 must demonstrate evidence of a linkage with the State or local workforce investment system. Provide evidence of this linkage.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 must include an evaluation component. Describe the evaluation component.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for Labor-HHS-Education appropriations:</w:t>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One-Year Funding? (Yes/No)</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sources of Federal and Non-Federal Funds.</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history of federal funding for the project, if any. Include both formula funds and any discretionary grants and fiscal years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request does not fully fund the project, describe where the remaining funding comes from to complete the project.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this project be submitted to another Member of Congress? If yes, who? (Yes/No)</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C">
      <w:pPr>
        <w:pStyle w:val="Heading3"/>
        <w:rPr>
          <w:rFonts w:ascii="Times New Roman" w:cs="Times New Roman" w:eastAsia="Times New Roman" w:hAnsi="Times New Roman"/>
          <w:sz w:val="24"/>
          <w:szCs w:val="24"/>
        </w:rPr>
      </w:pPr>
      <w:bookmarkStart w:colFirst="0" w:colLast="0" w:name="_qarp3unl4c1p" w:id="0"/>
      <w:bookmarkEnd w:id="0"/>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